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12 (Clustering)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When you should use this Schedule</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b w:val="1"/>
          <w:color w:val="000000"/>
          <w:sz w:val="24"/>
          <w:szCs w:val="24"/>
          <w:rtl w:val="0"/>
        </w:rPr>
        <w:t xml:space="preserve">“Cluster Members"</w:t>
      </w:r>
      <w:r w:rsidDel="00000000" w:rsidR="00000000" w:rsidRPr="00000000">
        <w:rPr>
          <w:color w:val="000000"/>
          <w:sz w:val="24"/>
          <w:szCs w:val="24"/>
          <w:rtl w:val="0"/>
        </w:rPr>
        <w:t xml:space="preserve"> means a person named as such in the Annex A to this Schedule which shall be incorporated into the Order Form. </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b w:val="1"/>
          <w:sz w:val="24"/>
          <w:szCs w:val="24"/>
          <w:rtl w:val="0"/>
        </w:rPr>
        <w:t xml:space="preserve">“Buyer”</w:t>
      </w:r>
      <w:r w:rsidDel="00000000" w:rsidR="00000000" w:rsidRPr="00000000">
        <w:rPr>
          <w:sz w:val="24"/>
          <w:szCs w:val="24"/>
          <w:rtl w:val="0"/>
        </w:rPr>
        <w:t xml:space="preserve"> for the purposes of this schedule, may also mean the specific contracting entity formed on behalf of the cluster.</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Cluster Members benefits under the Contract</w:t>
      </w:r>
      <w:r w:rsidDel="00000000" w:rsidR="00000000" w:rsidRPr="00000000">
        <w:rPr>
          <w:rtl w:val="0"/>
        </w:rPr>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Buyer has entered into this Call-Off Contract both for its own benefit and for the benefit of the Cluster Members.  </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0j0zll" w:id="1"/>
      <w:bookmarkEnd w:id="1"/>
      <w:r w:rsidDel="00000000" w:rsidR="00000000" w:rsidRPr="00000000">
        <w:rPr>
          <w:color w:val="000000"/>
          <w:sz w:val="24"/>
          <w:szCs w:val="24"/>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Parties to a Call-Off Contract (being the Buyer and Supplier and not including a Cluster Member) may in accordance with its provisions vary, terminate or rescind that Call-Off Contract or any part of it, without the consent of any Cluster Member.</w:t>
      </w:r>
    </w:p>
    <w:p w:rsidR="00000000" w:rsidDel="00000000" w:rsidP="00000000" w:rsidRDefault="00000000" w:rsidRPr="00000000" w14:paraId="0000000E">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The enforcement rights granted to Cluster Members under Paragraph </w:t>
      </w:r>
      <w:r w:rsidDel="00000000" w:rsidR="00000000" w:rsidRPr="00000000">
        <w:rPr>
          <w:sz w:val="24"/>
          <w:szCs w:val="24"/>
          <w:rtl w:val="0"/>
        </w:rPr>
        <w:t xml:space="preserve">3.4</w:t>
      </w:r>
      <w:r w:rsidDel="00000000" w:rsidR="00000000" w:rsidRPr="00000000">
        <w:rPr>
          <w:color w:val="000000"/>
          <w:sz w:val="24"/>
          <w:szCs w:val="24"/>
          <w:rtl w:val="0"/>
        </w:rPr>
        <w:t xml:space="preserve"> are subject to the following provisions: </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Buyer may enforce any provision of a Call-Off Contract on behalf of a Cluster Member; </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985"/>
          <w:tab w:val="left" w:pos="2127"/>
        </w:tabs>
        <w:spacing w:after="120" w:before="120" w:lineRule="auto"/>
        <w:ind w:left="1440" w:firstLine="0"/>
        <w:jc w:val="left"/>
        <w:rPr>
          <w:sz w:val="24"/>
          <w:szCs w:val="24"/>
        </w:rPr>
      </w:pP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Services will be provided by the Supplier to each Cluster Member and Buyer separately; </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obligation in regards to reporting will be owed to each Cluster Member and Buyer separately;</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Buyer and Cluster Members shall be entitled to separate invoices in respect of the provision of Deliverables;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separate invoices will correlate to the Deliverables provided to the respective Buyer and Cluster Members;</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such further adjustments as the Buyer and each Cluster Member may </w:t>
      </w:r>
      <w:r w:rsidDel="00000000" w:rsidR="00000000" w:rsidRPr="00000000">
        <w:rPr>
          <w:color w:val="000000"/>
          <w:sz w:val="24"/>
          <w:szCs w:val="24"/>
          <w:rtl w:val="0"/>
        </w:rPr>
        <w:t xml:space="preserve">notify to the</w:t>
      </w:r>
      <w:r w:rsidDel="00000000" w:rsidR="00000000" w:rsidRPr="00000000">
        <w:rPr>
          <w:color w:val="000000"/>
          <w:sz w:val="24"/>
          <w:szCs w:val="24"/>
          <w:rtl w:val="0"/>
        </w:rPr>
        <w:t xml:space="preserve"> Supplier from time to time. </w:t>
      </w:r>
    </w:p>
    <w:p w:rsidR="00000000" w:rsidDel="00000000" w:rsidP="00000000" w:rsidRDefault="00000000" w:rsidRPr="00000000" w14:paraId="0000001B">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0" w:firstLine="0"/>
        <w:jc w:val="left"/>
        <w:rPr>
          <w:color w:val="000000"/>
          <w:sz w:val="24"/>
          <w:szCs w:val="24"/>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Annex A – Cluster Members</w:t>
      </w:r>
    </w:p>
    <w:p w:rsidR="00000000" w:rsidDel="00000000" w:rsidP="00000000" w:rsidRDefault="00000000" w:rsidRPr="00000000" w14:paraId="0000001E">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21">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2">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3">
      <w:pPr>
        <w:pBdr>
          <w:top w:space="0" w:sz="0" w:val="nil"/>
          <w:left w:space="0" w:sz="0" w:val="nil"/>
          <w:bottom w:space="0" w:sz="0" w:val="nil"/>
          <w:right w:space="0" w:sz="0" w:val="nil"/>
          <w:between w:space="0" w:sz="0" w:val="nil"/>
        </w:pBdr>
        <w:ind w:left="0" w:firstLine="0"/>
        <w:jc w:val="left"/>
        <w:rPr>
          <w:rFonts w:ascii="Calibri" w:cs="Calibri" w:eastAsia="Calibri" w:hAnsi="Calibri"/>
          <w:b w:val="1"/>
          <w:color w:val="000000"/>
          <w:sz w:val="24"/>
          <w:szCs w:val="24"/>
          <w:u w:val="singl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RM6</w:t>
    </w:r>
    <w:r w:rsidDel="00000000" w:rsidR="00000000" w:rsidRPr="00000000">
      <w:rPr>
        <w:sz w:val="20"/>
        <w:szCs w:val="20"/>
        <w:rtl w:val="0"/>
      </w:rPr>
      <w:t xml:space="preserve">232</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5">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6">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1440" w:hanging="720"/>
    </w:pPr>
    <w:rPr>
      <w:rFonts w:ascii="Times New Roman" w:cs="Times New Roman" w:eastAsia="Times New Roman" w:hAnsi="Times New Roman"/>
    </w:rPr>
  </w:style>
  <w:style w:type="paragraph" w:styleId="Heading3">
    <w:name w:val="heading 3"/>
    <w:basedOn w:val="Normal"/>
    <w:next w:val="Normal"/>
    <w:pPr>
      <w:ind w:left="2160" w:hanging="720"/>
    </w:pPr>
    <w:rPr>
      <w:rFonts w:ascii="Times New Roman" w:cs="Times New Roman" w:eastAsia="Times New Roman" w:hAnsi="Times New Roman"/>
    </w:rPr>
  </w:style>
  <w:style w:type="paragraph" w:styleId="Heading4">
    <w:name w:val="heading 4"/>
    <w:basedOn w:val="Normal"/>
    <w:next w:val="Normal"/>
    <w:pPr>
      <w:ind w:left="2880" w:hanging="72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link w:val="Heading1Char"/>
    <w:qFormat w:val="1"/>
    <w:pPr>
      <w:numPr>
        <w:numId w:val="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tabs>
        <w:tab w:val="left" w:pos="-9"/>
        <w:tab w:val="num" w:pos="720"/>
      </w:tabs>
      <w:spacing w:after="120"/>
      <w:ind w:left="720" w:hanging="720"/>
    </w:pPr>
  </w:style>
  <w:style w:type="paragraph" w:styleId="GPSDefinitionL2" w:customStyle="1">
    <w:name w:val="GPS Definition L2"/>
    <w:basedOn w:val="GPsDefinition"/>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rPr>
      <w:rFonts w:ascii="Calibri" w:cs="Calibri" w:eastAsia="Calibri" w:hAnsi="Calibri"/>
      <w:sz w:val="20"/>
      <w:szCs w:val="20"/>
    </w:rPr>
    <w:tblPr>
      <w:tblStyleRowBandSize w:val="1"/>
      <w:tblStyleColBandSize w:val="1"/>
    </w:tblPr>
  </w:style>
  <w:style w:type="table" w:styleId="a0" w:customStyle="1">
    <w:basedOn w:val="TableNormal"/>
    <w:pPr>
      <w:spacing w:after="0"/>
    </w:pPr>
    <w:rPr>
      <w:rFonts w:ascii="Calibri" w:cs="Calibri" w:eastAsia="Calibri" w:hAnsi="Calibri"/>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5i0rmeKvODzZJUFfUt7DLB3prg==">AMUW2mVrm1eV5kMRzrzFEAMZ6aZSM8hAkTXEqYHt+IJ21pbRwHnv89iE4xmrkaTzZ10liVWpFjgt7tf/2DuhqMPSeNhu4GUsp6hIE9D0a3/f/Yb3NvclECVC1JVbx3imB5DpeqCrn9b9SRyxkbwgruXqySWf0Ms7GMAvMWOYwr5pglv8nLgGKyoLn6h198ICjNlLHT57VNis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2021-10-18T10:03:00Z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